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color="000000" w:space="1" w:sz="8" w:val="single"/>
          <w:left w:color="000000" w:space="1" w:sz="8" w:val="single"/>
          <w:bottom w:color="auto" w:space="0" w:sz="0" w:val="none"/>
          <w:right w:color="000000" w:space="1" w:sz="8" w:val="single"/>
        </w:pBdr>
        <w:shd w:fill="efefef" w:val="clear"/>
        <w:spacing w:line="331.2" w:lineRule="auto"/>
        <w:rPr>
          <w:rFonts w:ascii="Noto Serif" w:cs="Noto Serif" w:eastAsia="Noto Serif" w:hAnsi="Noto Serif"/>
          <w:color w:val="434343"/>
        </w:rPr>
      </w:pPr>
      <w:bookmarkStart w:colFirst="0" w:colLast="0" w:name="_nas06qnatnv1" w:id="0"/>
      <w:bookmarkEnd w:id="0"/>
      <w:r w:rsidDel="00000000" w:rsidR="00000000" w:rsidRPr="00000000">
        <w:rPr>
          <w:rFonts w:ascii="Noto Serif" w:cs="Noto Serif" w:eastAsia="Noto Serif" w:hAnsi="Noto Serif"/>
          <w:color w:val="434343"/>
          <w:rtl w:val="0"/>
        </w:rPr>
        <w:t xml:space="preserve">Disclaimer, Terms of Use, and Copyrights</w:t>
      </w:r>
    </w:p>
    <w:p w:rsidR="00000000" w:rsidDel="00000000" w:rsidP="00000000" w:rsidRDefault="00000000" w:rsidRPr="00000000" w14:paraId="00000002">
      <w:pPr>
        <w:pStyle w:val="Title"/>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rPr>
          <w:rFonts w:ascii="Noto Serif" w:cs="Noto Serif" w:eastAsia="Noto Serif" w:hAnsi="Noto Serif"/>
          <w:color w:val="434343"/>
          <w:sz w:val="20"/>
          <w:szCs w:val="20"/>
        </w:rPr>
      </w:pPr>
      <w:bookmarkStart w:colFirst="0" w:colLast="0" w:name="_lowqkkb7bcgc" w:id="1"/>
      <w:bookmarkEnd w:id="1"/>
      <w:r w:rsidDel="00000000" w:rsidR="00000000" w:rsidRPr="00000000">
        <w:rPr>
          <w:rFonts w:ascii="Noto Serif" w:cs="Noto Serif" w:eastAsia="Noto Serif" w:hAnsi="Noto Serif"/>
          <w:color w:val="434343"/>
          <w:sz w:val="20"/>
          <w:szCs w:val="20"/>
          <w:rtl w:val="0"/>
        </w:rPr>
        <w:t xml:space="preserve">The following document is developed by </w:t>
      </w:r>
      <w:r w:rsidDel="00000000" w:rsidR="00000000" w:rsidRPr="00000000">
        <w:rPr>
          <w:sz w:val="20"/>
          <w:szCs w:val="20"/>
          <w:rtl w:val="0"/>
        </w:rPr>
        <w:t xml:space="preserve">Person Centered Tech Incorporated</w:t>
      </w:r>
      <w:r w:rsidDel="00000000" w:rsidR="00000000" w:rsidRPr="00000000">
        <w:rPr>
          <w:rFonts w:ascii="Noto Serif" w:cs="Noto Serif" w:eastAsia="Noto Serif" w:hAnsi="Noto Serif"/>
          <w:color w:val="434343"/>
          <w:sz w:val="20"/>
          <w:szCs w:val="20"/>
          <w:rtl w:val="0"/>
        </w:rPr>
        <w:t xml:space="preserve"> and is offered for educational purposes. It is not offered with any intent or implied warranty of fitness for a particular purpose nor is there any warranty, guarantee, or general claim that this will in any way provide any particular level of legal protection.</w:t>
      </w:r>
    </w:p>
    <w:p w:rsidR="00000000" w:rsidDel="00000000" w:rsidP="00000000" w:rsidRDefault="00000000" w:rsidRPr="00000000" w14:paraId="00000003">
      <w:pPr>
        <w:pStyle w:val="Title"/>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rPr>
          <w:rFonts w:ascii="Noto Serif" w:cs="Noto Serif" w:eastAsia="Noto Serif" w:hAnsi="Noto Serif"/>
          <w:color w:val="434343"/>
          <w:sz w:val="20"/>
          <w:szCs w:val="20"/>
        </w:rPr>
      </w:pPr>
      <w:bookmarkStart w:colFirst="0" w:colLast="0" w:name="_lowqkkb7bcgc" w:id="1"/>
      <w:bookmarkEnd w:id="1"/>
      <w:r w:rsidDel="00000000" w:rsidR="00000000" w:rsidRPr="00000000">
        <w:rPr>
          <w:rFonts w:ascii="Noto Serif" w:cs="Noto Serif" w:eastAsia="Noto Serif" w:hAnsi="Noto Serif"/>
          <w:color w:val="434343"/>
          <w:sz w:val="20"/>
          <w:szCs w:val="20"/>
          <w:rtl w:val="0"/>
        </w:rPr>
        <w:t xml:space="preserve"> </w:t>
      </w:r>
    </w:p>
    <w:p w:rsidR="00000000" w:rsidDel="00000000" w:rsidP="00000000" w:rsidRDefault="00000000" w:rsidRPr="00000000" w14:paraId="00000004">
      <w:pPr>
        <w:pStyle w:val="Title"/>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rPr>
          <w:rFonts w:ascii="Noto Serif" w:cs="Noto Serif" w:eastAsia="Noto Serif" w:hAnsi="Noto Serif"/>
          <w:color w:val="434343"/>
          <w:sz w:val="20"/>
          <w:szCs w:val="20"/>
        </w:rPr>
      </w:pPr>
      <w:bookmarkStart w:colFirst="0" w:colLast="0" w:name="_lowqkkb7bcgc" w:id="1"/>
      <w:bookmarkEnd w:id="1"/>
      <w:r w:rsidDel="00000000" w:rsidR="00000000" w:rsidRPr="00000000">
        <w:rPr>
          <w:rFonts w:ascii="Noto Serif" w:cs="Noto Serif" w:eastAsia="Noto Serif" w:hAnsi="Noto Serif"/>
          <w:color w:val="434343"/>
          <w:sz w:val="20"/>
          <w:szCs w:val="20"/>
          <w:rtl w:val="0"/>
        </w:rPr>
        <w:t xml:space="preserve">This document is not a substitute for legal advice or consultation, nor is it a substitute for clinical or ethical consultation or advice. State laws and licensing board rules vary, as do the needs of individual clients. You must modify this document – or rule out its use – as necessary according to your local laws and rules as well as the needs of your clients and your practice.</w:t>
      </w:r>
    </w:p>
    <w:p w:rsidR="00000000" w:rsidDel="00000000" w:rsidP="00000000" w:rsidRDefault="00000000" w:rsidRPr="00000000" w14:paraId="00000005">
      <w:pPr>
        <w:pStyle w:val="Title"/>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rPr>
          <w:rFonts w:ascii="Noto Serif" w:cs="Noto Serif" w:eastAsia="Noto Serif" w:hAnsi="Noto Serif"/>
          <w:color w:val="434343"/>
          <w:sz w:val="20"/>
          <w:szCs w:val="20"/>
        </w:rPr>
      </w:pPr>
      <w:bookmarkStart w:colFirst="0" w:colLast="0" w:name="_lowqkkb7bcgc" w:id="1"/>
      <w:bookmarkEnd w:id="1"/>
      <w:r w:rsidDel="00000000" w:rsidR="00000000" w:rsidRPr="00000000">
        <w:rPr>
          <w:rFonts w:ascii="Noto Serif" w:cs="Noto Serif" w:eastAsia="Noto Serif" w:hAnsi="Noto Serif"/>
          <w:color w:val="434343"/>
          <w:sz w:val="20"/>
          <w:szCs w:val="20"/>
          <w:rtl w:val="0"/>
        </w:rPr>
        <w:t xml:space="preserve"> </w:t>
      </w:r>
    </w:p>
    <w:p w:rsidR="00000000" w:rsidDel="00000000" w:rsidP="00000000" w:rsidRDefault="00000000" w:rsidRPr="00000000" w14:paraId="00000006">
      <w:pPr>
        <w:pStyle w:val="Title"/>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rPr>
          <w:rFonts w:ascii="Noto Serif" w:cs="Noto Serif" w:eastAsia="Noto Serif" w:hAnsi="Noto Serif"/>
          <w:color w:val="434343"/>
          <w:sz w:val="20"/>
          <w:szCs w:val="20"/>
        </w:rPr>
      </w:pPr>
      <w:bookmarkStart w:colFirst="0" w:colLast="0" w:name="_lowqkkb7bcgc" w:id="1"/>
      <w:bookmarkEnd w:id="1"/>
      <w:r w:rsidDel="00000000" w:rsidR="00000000" w:rsidRPr="00000000">
        <w:rPr>
          <w:rFonts w:ascii="Noto Serif" w:cs="Noto Serif" w:eastAsia="Noto Serif" w:hAnsi="Noto Serif"/>
          <w:color w:val="434343"/>
          <w:sz w:val="20"/>
          <w:szCs w:val="20"/>
          <w:rtl w:val="0"/>
        </w:rPr>
        <w:t xml:space="preserve">Unless otherwise prohibited by law, </w:t>
      </w:r>
      <w:r w:rsidDel="00000000" w:rsidR="00000000" w:rsidRPr="00000000">
        <w:rPr>
          <w:sz w:val="20"/>
          <w:szCs w:val="20"/>
          <w:rtl w:val="0"/>
        </w:rPr>
        <w:t xml:space="preserve">Person Centered Tech Incorporated</w:t>
      </w:r>
      <w:r w:rsidDel="00000000" w:rsidR="00000000" w:rsidRPr="00000000">
        <w:rPr>
          <w:rFonts w:ascii="Noto Serif" w:cs="Noto Serif" w:eastAsia="Noto Serif" w:hAnsi="Noto Serif"/>
          <w:color w:val="434343"/>
          <w:sz w:val="20"/>
          <w:szCs w:val="20"/>
          <w:rtl w:val="0"/>
        </w:rPr>
        <w:t xml:space="preserve"> will not be liable to you or to any other third party for: (a) any direct, indirect, incidental, special, punitive, or consequential losses or damages, including, but not limited to, loss of profits, loss of earnings, loss of business opportunities, or personal injuries resulting directly or indirectly from use of this document; or (b) any losses, claims, damages, expenses, liabilities, or costs (including legal fees) resulting directly or indirectly from use of this document. The conditions in this paragraph apply to any acts, omissions, and negligence of </w:t>
      </w:r>
      <w:r w:rsidDel="00000000" w:rsidR="00000000" w:rsidRPr="00000000">
        <w:rPr>
          <w:sz w:val="20"/>
          <w:szCs w:val="20"/>
          <w:rtl w:val="0"/>
        </w:rPr>
        <w:t xml:space="preserve">Person Centered Tech Incorporated</w:t>
      </w:r>
      <w:r w:rsidDel="00000000" w:rsidR="00000000" w:rsidRPr="00000000">
        <w:rPr>
          <w:rFonts w:ascii="Noto Serif" w:cs="Noto Serif" w:eastAsia="Noto Serif" w:hAnsi="Noto Serif"/>
          <w:color w:val="434343"/>
          <w:sz w:val="20"/>
          <w:szCs w:val="20"/>
          <w:rtl w:val="0"/>
        </w:rPr>
        <w:t xml:space="preserve"> that would give rise to a course of legal action. You agree to indemnify and hold harmless </w:t>
      </w:r>
      <w:r w:rsidDel="00000000" w:rsidR="00000000" w:rsidRPr="00000000">
        <w:rPr>
          <w:sz w:val="20"/>
          <w:szCs w:val="20"/>
          <w:rtl w:val="0"/>
        </w:rPr>
        <w:t xml:space="preserve">Person Centered Tech Incorporated</w:t>
      </w:r>
      <w:r w:rsidDel="00000000" w:rsidR="00000000" w:rsidRPr="00000000">
        <w:rPr>
          <w:rFonts w:ascii="Noto Serif" w:cs="Noto Serif" w:eastAsia="Noto Serif" w:hAnsi="Noto Serif"/>
          <w:color w:val="434343"/>
          <w:sz w:val="20"/>
          <w:szCs w:val="20"/>
          <w:rtl w:val="0"/>
        </w:rPr>
        <w:t xml:space="preserve"> against all claims and expenses (including attorney fees) arising from the use of this document.</w:t>
      </w:r>
    </w:p>
    <w:p w:rsidR="00000000" w:rsidDel="00000000" w:rsidP="00000000" w:rsidRDefault="00000000" w:rsidRPr="00000000" w14:paraId="00000007">
      <w:pPr>
        <w:pStyle w:val="Title"/>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rPr>
          <w:rFonts w:ascii="Noto Serif" w:cs="Noto Serif" w:eastAsia="Noto Serif" w:hAnsi="Noto Serif"/>
          <w:color w:val="434343"/>
          <w:sz w:val="20"/>
          <w:szCs w:val="20"/>
        </w:rPr>
      </w:pPr>
      <w:bookmarkStart w:colFirst="0" w:colLast="0" w:name="_lowqkkb7bcgc" w:id="1"/>
      <w:bookmarkEnd w:id="1"/>
      <w:r w:rsidDel="00000000" w:rsidR="00000000" w:rsidRPr="00000000">
        <w:rPr>
          <w:rFonts w:ascii="Noto Serif" w:cs="Noto Serif" w:eastAsia="Noto Serif" w:hAnsi="Noto Serif"/>
          <w:color w:val="434343"/>
          <w:sz w:val="20"/>
          <w:szCs w:val="20"/>
          <w:rtl w:val="0"/>
        </w:rPr>
        <w:t xml:space="preserve"> </w:t>
      </w:r>
    </w:p>
    <w:p w:rsidR="00000000" w:rsidDel="00000000" w:rsidP="00000000" w:rsidRDefault="00000000" w:rsidRPr="00000000" w14:paraId="00000008">
      <w:pPr>
        <w:pStyle w:val="Title"/>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rPr>
          <w:rFonts w:ascii="Noto Serif" w:cs="Noto Serif" w:eastAsia="Noto Serif" w:hAnsi="Noto Serif"/>
          <w:color w:val="434343"/>
          <w:sz w:val="20"/>
          <w:szCs w:val="20"/>
        </w:rPr>
      </w:pPr>
      <w:bookmarkStart w:colFirst="0" w:colLast="0" w:name="_lowqkkb7bcgc" w:id="1"/>
      <w:bookmarkEnd w:id="1"/>
      <w:r w:rsidDel="00000000" w:rsidR="00000000" w:rsidRPr="00000000">
        <w:rPr>
          <w:rFonts w:ascii="Noto Serif" w:cs="Noto Serif" w:eastAsia="Noto Serif" w:hAnsi="Noto Serif"/>
          <w:color w:val="434343"/>
          <w:sz w:val="20"/>
          <w:szCs w:val="20"/>
          <w:rtl w:val="0"/>
        </w:rPr>
        <w:t xml:space="preserve">This document is provided “as is.” </w:t>
      </w:r>
      <w:r w:rsidDel="00000000" w:rsidR="00000000" w:rsidRPr="00000000">
        <w:rPr>
          <w:sz w:val="20"/>
          <w:szCs w:val="20"/>
          <w:rtl w:val="0"/>
        </w:rPr>
        <w:t xml:space="preserve">Person Centered Tech Incorporated</w:t>
      </w:r>
      <w:r w:rsidDel="00000000" w:rsidR="00000000" w:rsidRPr="00000000">
        <w:rPr>
          <w:rFonts w:ascii="Noto Serif" w:cs="Noto Serif" w:eastAsia="Noto Serif" w:hAnsi="Noto Serif"/>
          <w:color w:val="434343"/>
          <w:sz w:val="20"/>
          <w:szCs w:val="20"/>
          <w:rtl w:val="0"/>
        </w:rPr>
        <w:t xml:space="preserve"> grants you right to use this document in your own health care practice. Your right to use this document is non-exclusive and may not be transferred to others. You may copy or modify this document according to your individual business needs, but you may not distribute copies of this document nor may you distribute documents derived from this one. You are also prohibited from using this document for educational purposes without prior written consent.</w:t>
      </w:r>
    </w:p>
    <w:p w:rsidR="00000000" w:rsidDel="00000000" w:rsidP="00000000" w:rsidRDefault="00000000" w:rsidRPr="00000000" w14:paraId="00000009">
      <w:pPr>
        <w:pStyle w:val="Title"/>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rPr>
          <w:rFonts w:ascii="Noto Serif" w:cs="Noto Serif" w:eastAsia="Noto Serif" w:hAnsi="Noto Serif"/>
          <w:color w:val="434343"/>
          <w:sz w:val="20"/>
          <w:szCs w:val="20"/>
        </w:rPr>
      </w:pPr>
      <w:bookmarkStart w:colFirst="0" w:colLast="0" w:name="_lowqkkb7bcgc" w:id="1"/>
      <w:bookmarkEnd w:id="1"/>
      <w:r w:rsidDel="00000000" w:rsidR="00000000" w:rsidRPr="00000000">
        <w:rPr>
          <w:rFonts w:ascii="Noto Serif" w:cs="Noto Serif" w:eastAsia="Noto Serif" w:hAnsi="Noto Serif"/>
          <w:color w:val="434343"/>
          <w:sz w:val="20"/>
          <w:szCs w:val="20"/>
          <w:rtl w:val="0"/>
        </w:rPr>
        <w:t xml:space="preserve"> </w:t>
      </w:r>
    </w:p>
    <w:p w:rsidR="00000000" w:rsidDel="00000000" w:rsidP="00000000" w:rsidRDefault="00000000" w:rsidRPr="00000000" w14:paraId="0000000A">
      <w:pPr>
        <w:pStyle w:val="Title"/>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rPr>
          <w:rFonts w:ascii="Noto Serif" w:cs="Noto Serif" w:eastAsia="Noto Serif" w:hAnsi="Noto Serif"/>
          <w:color w:val="434343"/>
          <w:sz w:val="20"/>
          <w:szCs w:val="20"/>
        </w:rPr>
      </w:pPr>
      <w:bookmarkStart w:colFirst="0" w:colLast="0" w:name="_lowqkkb7bcgc" w:id="1"/>
      <w:bookmarkEnd w:id="1"/>
      <w:r w:rsidDel="00000000" w:rsidR="00000000" w:rsidRPr="00000000">
        <w:rPr>
          <w:rFonts w:ascii="Noto Serif" w:cs="Noto Serif" w:eastAsia="Noto Serif" w:hAnsi="Noto Serif"/>
          <w:color w:val="434343"/>
          <w:sz w:val="20"/>
          <w:szCs w:val="20"/>
          <w:rtl w:val="0"/>
        </w:rPr>
        <w:t xml:space="preserve">Your use of this document is also covered by Person</w:t>
      </w:r>
      <w:r w:rsidDel="00000000" w:rsidR="00000000" w:rsidRPr="00000000">
        <w:rPr>
          <w:sz w:val="20"/>
          <w:szCs w:val="20"/>
          <w:rtl w:val="0"/>
        </w:rPr>
        <w:t xml:space="preserve"> </w:t>
      </w:r>
      <w:r w:rsidDel="00000000" w:rsidR="00000000" w:rsidRPr="00000000">
        <w:rPr>
          <w:rFonts w:ascii="Noto Serif" w:cs="Noto Serif" w:eastAsia="Noto Serif" w:hAnsi="Noto Serif"/>
          <w:color w:val="434343"/>
          <w:sz w:val="20"/>
          <w:szCs w:val="20"/>
          <w:rtl w:val="0"/>
        </w:rPr>
        <w:t xml:space="preserve">Centered Tech’s</w:t>
      </w:r>
      <w:hyperlink r:id="rId6">
        <w:r w:rsidDel="00000000" w:rsidR="00000000" w:rsidRPr="00000000">
          <w:rPr>
            <w:rFonts w:ascii="Noto Serif" w:cs="Noto Serif" w:eastAsia="Noto Serif" w:hAnsi="Noto Serif"/>
            <w:color w:val="434343"/>
            <w:sz w:val="20"/>
            <w:szCs w:val="20"/>
            <w:rtl w:val="0"/>
          </w:rPr>
          <w:t xml:space="preserve"> </w:t>
        </w:r>
      </w:hyperlink>
      <w:hyperlink r:id="rId7">
        <w:r w:rsidDel="00000000" w:rsidR="00000000" w:rsidRPr="00000000">
          <w:rPr>
            <w:rFonts w:ascii="Noto Serif" w:cs="Noto Serif" w:eastAsia="Noto Serif" w:hAnsi="Noto Serif"/>
            <w:color w:val="434343"/>
            <w:sz w:val="20"/>
            <w:szCs w:val="20"/>
            <w:u w:val="single"/>
            <w:rtl w:val="0"/>
          </w:rPr>
          <w:t xml:space="preserve">Terms of Service</w:t>
        </w:r>
      </w:hyperlink>
      <w:r w:rsidDel="00000000" w:rsidR="00000000" w:rsidRPr="00000000">
        <w:rPr>
          <w:rFonts w:ascii="Noto Serif" w:cs="Noto Serif" w:eastAsia="Noto Serif" w:hAnsi="Noto Serif"/>
          <w:color w:val="434343"/>
          <w:sz w:val="20"/>
          <w:szCs w:val="20"/>
          <w:rtl w:val="0"/>
        </w:rPr>
        <w:t xml:space="preserve">.</w:t>
      </w:r>
    </w:p>
    <w:p w:rsidR="00000000" w:rsidDel="00000000" w:rsidP="00000000" w:rsidRDefault="00000000" w:rsidRPr="00000000" w14:paraId="0000000B">
      <w:pPr>
        <w:pStyle w:val="Title"/>
        <w:pBdr>
          <w:top w:color="auto" w:space="0" w:sz="0" w:val="none"/>
          <w:left w:color="000000" w:space="1" w:sz="8" w:val="single"/>
          <w:bottom w:color="auto" w:space="0" w:sz="0" w:val="none"/>
          <w:right w:color="000000" w:space="1" w:sz="8" w:val="single"/>
          <w:between w:color="auto" w:space="0" w:sz="0" w:val="none"/>
        </w:pBdr>
        <w:shd w:fill="efefef" w:val="clear"/>
        <w:spacing w:after="0" w:line="331.2" w:lineRule="auto"/>
        <w:rPr>
          <w:rFonts w:ascii="Noto Serif" w:cs="Noto Serif" w:eastAsia="Noto Serif" w:hAnsi="Noto Serif"/>
          <w:color w:val="434343"/>
          <w:sz w:val="20"/>
          <w:szCs w:val="20"/>
        </w:rPr>
      </w:pPr>
      <w:bookmarkStart w:colFirst="0" w:colLast="0" w:name="_lowqkkb7bcgc" w:id="1"/>
      <w:bookmarkEnd w:id="1"/>
      <w:r w:rsidDel="00000000" w:rsidR="00000000" w:rsidRPr="00000000">
        <w:rPr>
          <w:rFonts w:ascii="Noto Serif" w:cs="Noto Serif" w:eastAsia="Noto Serif" w:hAnsi="Noto Serif"/>
          <w:color w:val="434343"/>
          <w:sz w:val="20"/>
          <w:szCs w:val="20"/>
          <w:rtl w:val="0"/>
        </w:rPr>
        <w:t xml:space="preserve"> </w:t>
      </w:r>
    </w:p>
    <w:p w:rsidR="00000000" w:rsidDel="00000000" w:rsidP="00000000" w:rsidRDefault="00000000" w:rsidRPr="00000000" w14:paraId="0000000C">
      <w:pPr>
        <w:pStyle w:val="Title"/>
        <w:pBdr>
          <w:top w:color="auto" w:space="0" w:sz="0" w:val="none"/>
          <w:left w:color="000000" w:space="1" w:sz="8" w:val="single"/>
          <w:bottom w:color="000000" w:space="1" w:sz="8" w:val="single"/>
          <w:right w:color="000000" w:space="1" w:sz="8" w:val="single"/>
        </w:pBdr>
        <w:shd w:fill="efefef" w:val="clear"/>
        <w:spacing w:after="0" w:line="331.2" w:lineRule="auto"/>
        <w:rPr>
          <w:rFonts w:ascii="Noto Serif" w:cs="Noto Serif" w:eastAsia="Noto Serif" w:hAnsi="Noto Serif"/>
          <w:color w:val="434343"/>
          <w:sz w:val="20"/>
          <w:szCs w:val="20"/>
        </w:rPr>
      </w:pPr>
      <w:bookmarkStart w:colFirst="0" w:colLast="0" w:name="_hwc1lvm0u2k" w:id="2"/>
      <w:bookmarkEnd w:id="2"/>
      <w:r w:rsidDel="00000000" w:rsidR="00000000" w:rsidRPr="00000000">
        <w:rPr>
          <w:rFonts w:ascii="Noto Serif" w:cs="Noto Serif" w:eastAsia="Noto Serif" w:hAnsi="Noto Serif"/>
          <w:color w:val="434343"/>
          <w:sz w:val="20"/>
          <w:szCs w:val="20"/>
          <w:rtl w:val="0"/>
        </w:rPr>
        <w:t xml:space="preserve">This document is © 2018 Person</w:t>
      </w:r>
      <w:r w:rsidDel="00000000" w:rsidR="00000000" w:rsidRPr="00000000">
        <w:rPr>
          <w:sz w:val="20"/>
          <w:szCs w:val="20"/>
          <w:rtl w:val="0"/>
        </w:rPr>
        <w:t xml:space="preserve"> </w:t>
      </w:r>
      <w:r w:rsidDel="00000000" w:rsidR="00000000" w:rsidRPr="00000000">
        <w:rPr>
          <w:rFonts w:ascii="Noto Serif" w:cs="Noto Serif" w:eastAsia="Noto Serif" w:hAnsi="Noto Serif"/>
          <w:color w:val="434343"/>
          <w:sz w:val="20"/>
          <w:szCs w:val="20"/>
          <w:rtl w:val="0"/>
        </w:rPr>
        <w:t xml:space="preserve">Centered Tech</w:t>
      </w:r>
      <w:r w:rsidDel="00000000" w:rsidR="00000000" w:rsidRPr="00000000">
        <w:rPr>
          <w:sz w:val="20"/>
          <w:szCs w:val="20"/>
          <w:rtl w:val="0"/>
        </w:rPr>
        <w:t xml:space="preserve"> Incorporated</w:t>
      </w:r>
      <w:r w:rsidDel="00000000" w:rsidR="00000000" w:rsidRPr="00000000">
        <w:rPr>
          <w:rFonts w:ascii="Noto Serif" w:cs="Noto Serif" w:eastAsia="Noto Serif" w:hAnsi="Noto Serif"/>
          <w:color w:val="434343"/>
          <w:sz w:val="20"/>
          <w:szCs w:val="20"/>
          <w:rtl w:val="0"/>
        </w:rPr>
        <w:t xml:space="preserve">.</w:t>
      </w:r>
    </w:p>
    <w:p w:rsidR="00000000" w:rsidDel="00000000" w:rsidP="00000000" w:rsidRDefault="00000000" w:rsidRPr="00000000" w14:paraId="0000000D">
      <w:pPr>
        <w:pStyle w:val="Title"/>
        <w:jc w:val="center"/>
        <w:rPr>
          <w:rFonts w:ascii="Montserrat" w:cs="Montserrat" w:eastAsia="Montserrat" w:hAnsi="Montserrat"/>
          <w:color w:val="8fc855"/>
        </w:rPr>
      </w:pPr>
      <w:bookmarkStart w:colFirst="0" w:colLast="0" w:name="_gb9izz65w6rf" w:id="3"/>
      <w:bookmarkEnd w:id="3"/>
      <w:r w:rsidDel="00000000" w:rsidR="00000000" w:rsidRPr="00000000">
        <w:rPr>
          <w:rtl w:val="0"/>
        </w:rPr>
      </w:r>
    </w:p>
    <w:p w:rsidR="00000000" w:rsidDel="00000000" w:rsidP="00000000" w:rsidRDefault="00000000" w:rsidRPr="00000000" w14:paraId="0000000E">
      <w:pPr>
        <w:pStyle w:val="Title"/>
        <w:rPr>
          <w:rFonts w:ascii="Montserrat SemiBold" w:cs="Montserrat SemiBold" w:eastAsia="Montserrat SemiBold" w:hAnsi="Montserrat SemiBold"/>
          <w:color w:val="8fc855"/>
          <w:sz w:val="60"/>
          <w:szCs w:val="60"/>
        </w:rPr>
      </w:pPr>
      <w:bookmarkStart w:colFirst="0" w:colLast="0" w:name="_f0sk71ehoku9" w:id="4"/>
      <w:bookmarkEnd w:id="4"/>
      <w:r w:rsidDel="00000000" w:rsidR="00000000" w:rsidRPr="00000000">
        <w:rPr>
          <w:rFonts w:ascii="Montserrat SemiBold" w:cs="Montserrat SemiBold" w:eastAsia="Montserrat SemiBold" w:hAnsi="Montserrat SemiBold"/>
          <w:color w:val="8fc855"/>
          <w:sz w:val="60"/>
          <w:szCs w:val="60"/>
          <w:rtl w:val="0"/>
        </w:rPr>
        <w:t xml:space="preserve">Using This Form During the </w:t>
        <w:br w:type="textWrapping"/>
        <w:t xml:space="preserve">COVID-19 Outbreak</w:t>
      </w:r>
    </w:p>
    <w:p w:rsidR="00000000" w:rsidDel="00000000" w:rsidP="00000000" w:rsidRDefault="00000000" w:rsidRPr="00000000" w14:paraId="0000000F">
      <w:pPr>
        <w:rPr>
          <w:color w:val="000000"/>
        </w:rPr>
      </w:pPr>
      <w:r w:rsidDel="00000000" w:rsidR="00000000" w:rsidRPr="00000000">
        <w:rPr>
          <w:color w:val="000000"/>
          <w:rtl w:val="0"/>
        </w:rPr>
        <w:t xml:space="preserve">This sample form was originally created for our Telemental Health Certificate Program. As such, it was intended to be given along with the trainings, but we discovered it is understandable and usable even outside the context of the certificate program.</w:t>
      </w:r>
    </w:p>
    <w:p w:rsidR="00000000" w:rsidDel="00000000" w:rsidP="00000000" w:rsidRDefault="00000000" w:rsidRPr="00000000" w14:paraId="00000010">
      <w:pPr>
        <w:rPr>
          <w:color w:val="000000"/>
        </w:rPr>
      </w:pPr>
      <w:r w:rsidDel="00000000" w:rsidR="00000000" w:rsidRPr="00000000">
        <w:rPr>
          <w:rtl w:val="0"/>
        </w:rPr>
      </w:r>
    </w:p>
    <w:p w:rsidR="00000000" w:rsidDel="00000000" w:rsidP="00000000" w:rsidRDefault="00000000" w:rsidRPr="00000000" w14:paraId="00000011">
      <w:pPr>
        <w:rPr>
          <w:color w:val="000000"/>
        </w:rPr>
      </w:pPr>
      <w:r w:rsidDel="00000000" w:rsidR="00000000" w:rsidRPr="00000000">
        <w:rPr>
          <w:color w:val="000000"/>
          <w:rtl w:val="0"/>
        </w:rPr>
        <w:t xml:space="preserve">You may not need every item in this form, but it’s likely you will at least need nearly every item. </w:t>
      </w:r>
    </w:p>
    <w:p w:rsidR="00000000" w:rsidDel="00000000" w:rsidP="00000000" w:rsidRDefault="00000000" w:rsidRPr="00000000" w14:paraId="00000012">
      <w:pPr>
        <w:rPr>
          <w:color w:val="000000"/>
        </w:rPr>
      </w:pPr>
      <w:r w:rsidDel="00000000" w:rsidR="00000000" w:rsidRPr="00000000">
        <w:rPr>
          <w:rtl w:val="0"/>
        </w:rPr>
      </w:r>
    </w:p>
    <w:p w:rsidR="00000000" w:rsidDel="00000000" w:rsidP="00000000" w:rsidRDefault="00000000" w:rsidRPr="00000000" w14:paraId="00000013">
      <w:pPr>
        <w:rPr>
          <w:color w:val="000000"/>
        </w:rPr>
      </w:pPr>
      <w:r w:rsidDel="00000000" w:rsidR="00000000" w:rsidRPr="00000000">
        <w:rPr>
          <w:color w:val="000000"/>
          <w:rtl w:val="0"/>
        </w:rPr>
        <w:t xml:space="preserve">If you’re using this form to help you get moving with telehealth during the COVID-19 outbreak, you may wish to focus on the items that you know are relevant to your current clients’ needs. If anything arises that you still don’t understand, we advise you to research it online or get qualified consultation from colleagues or experts. </w:t>
      </w:r>
    </w:p>
    <w:p w:rsidR="00000000" w:rsidDel="00000000" w:rsidP="00000000" w:rsidRDefault="00000000" w:rsidRPr="00000000" w14:paraId="00000014">
      <w:pPr>
        <w:rPr>
          <w:color w:val="000000"/>
        </w:rPr>
      </w:pPr>
      <w:r w:rsidDel="00000000" w:rsidR="00000000" w:rsidRPr="00000000">
        <w:rPr>
          <w:rtl w:val="0"/>
        </w:rPr>
      </w:r>
    </w:p>
    <w:p w:rsidR="00000000" w:rsidDel="00000000" w:rsidP="00000000" w:rsidRDefault="00000000" w:rsidRPr="00000000" w14:paraId="00000015">
      <w:pPr>
        <w:pStyle w:val="Heading3"/>
        <w:spacing w:after="160" w:line="240" w:lineRule="auto"/>
        <w:ind w:left="-150" w:firstLine="0"/>
        <w:rPr>
          <w:rFonts w:ascii="Noto Serif" w:cs="Noto Serif" w:eastAsia="Noto Serif" w:hAnsi="Noto Serif"/>
          <w:color w:val="434343"/>
          <w:sz w:val="24"/>
          <w:szCs w:val="24"/>
        </w:rPr>
      </w:pPr>
      <w:bookmarkStart w:colFirst="0" w:colLast="0" w:name="_uh2oj6onqu7p" w:id="5"/>
      <w:bookmarkEnd w:id="5"/>
      <w:r w:rsidDel="00000000" w:rsidR="00000000" w:rsidRPr="00000000">
        <w:rPr>
          <w:rFonts w:ascii="Noto Serif" w:cs="Noto Serif" w:eastAsia="Noto Serif" w:hAnsi="Noto Serif"/>
          <w:color w:val="434343"/>
          <w:sz w:val="24"/>
          <w:szCs w:val="24"/>
          <w:rtl w:val="0"/>
        </w:rPr>
        <w:t xml:space="preserve">Training Links</w:t>
      </w:r>
    </w:p>
    <w:p w:rsidR="00000000" w:rsidDel="00000000" w:rsidP="00000000" w:rsidRDefault="00000000" w:rsidRPr="00000000" w14:paraId="00000016">
      <w:pPr>
        <w:rPr>
          <w:color w:val="000000"/>
        </w:rPr>
      </w:pPr>
      <w:r w:rsidDel="00000000" w:rsidR="00000000" w:rsidRPr="00000000">
        <w:rPr>
          <w:color w:val="000000"/>
          <w:rtl w:val="0"/>
        </w:rPr>
        <w:t xml:space="preserve">The following are links to our telemental health training programs:</w:t>
      </w:r>
    </w:p>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color w:val="000000"/>
          <w:rtl w:val="0"/>
        </w:rPr>
        <w:t xml:space="preserve">Solo Practice Certification Program: </w:t>
      </w:r>
      <w:hyperlink r:id="rId8">
        <w:r w:rsidDel="00000000" w:rsidR="00000000" w:rsidRPr="00000000">
          <w:rPr>
            <w:color w:val="1155cc"/>
            <w:u w:val="single"/>
            <w:rtl w:val="0"/>
          </w:rPr>
          <w:t xml:space="preserve">https://personcenteredtech.com/tmh/</w:t>
        </w:r>
      </w:hyperlink>
      <w:r w:rsidDel="00000000" w:rsidR="00000000" w:rsidRPr="00000000">
        <w:rPr>
          <w:rtl w:val="0"/>
        </w:rPr>
      </w:r>
    </w:p>
    <w:p w:rsidR="00000000" w:rsidDel="00000000" w:rsidP="00000000" w:rsidRDefault="00000000" w:rsidRPr="00000000" w14:paraId="00000019">
      <w:pPr>
        <w:rPr>
          <w:color w:val="000000"/>
        </w:rPr>
      </w:pPr>
      <w:r w:rsidDel="00000000" w:rsidR="00000000" w:rsidRPr="00000000">
        <w:rPr>
          <w:color w:val="000000"/>
          <w:rtl w:val="0"/>
        </w:rPr>
        <w:t xml:space="preserve">Solo Practice Basic Starter Pack: </w:t>
      </w:r>
      <w:hyperlink r:id="rId9">
        <w:r w:rsidDel="00000000" w:rsidR="00000000" w:rsidRPr="00000000">
          <w:rPr>
            <w:color w:val="1155cc"/>
            <w:u w:val="single"/>
            <w:rtl w:val="0"/>
          </w:rPr>
          <w:t xml:space="preserve">https://personcenteredtech.com/tmh/starter/</w:t>
        </w:r>
      </w:hyperlink>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rtl w:val="0"/>
        </w:rPr>
      </w:r>
    </w:p>
    <w:p w:rsidR="00000000" w:rsidDel="00000000" w:rsidP="00000000" w:rsidRDefault="00000000" w:rsidRPr="00000000" w14:paraId="0000001B">
      <w:pPr>
        <w:pStyle w:val="Title"/>
        <w:rPr>
          <w:color w:val="000000"/>
        </w:rPr>
      </w:pPr>
      <w:bookmarkStart w:colFirst="0" w:colLast="0" w:name="_dmezpd78rrum" w:id="6"/>
      <w:bookmarkEnd w:id="6"/>
      <w:r w:rsidDel="00000000" w:rsidR="00000000" w:rsidRPr="00000000">
        <w:rPr>
          <w:color w:val="000000"/>
          <w:sz w:val="24"/>
          <w:szCs w:val="24"/>
          <w:rtl w:val="0"/>
        </w:rPr>
        <w:t xml:space="preserve">Group Practice TMH Program: </w:t>
      </w:r>
      <w:hyperlink r:id="rId10">
        <w:r w:rsidDel="00000000" w:rsidR="00000000" w:rsidRPr="00000000">
          <w:rPr>
            <w:color w:val="1155cc"/>
            <w:sz w:val="24"/>
            <w:szCs w:val="24"/>
            <w:u w:val="single"/>
            <w:rtl w:val="0"/>
          </w:rPr>
          <w:t xml:space="preserve">https://personcenteredtech.com/group-telemental-health/</w:t>
        </w:r>
      </w:hyperlink>
      <w:r w:rsidDel="00000000" w:rsidR="00000000" w:rsidRPr="00000000">
        <w:rPr>
          <w:rtl w:val="0"/>
        </w:rPr>
      </w:r>
    </w:p>
    <w:p w:rsidR="00000000" w:rsidDel="00000000" w:rsidP="00000000" w:rsidRDefault="00000000" w:rsidRPr="00000000" w14:paraId="0000001C">
      <w:pPr>
        <w:rPr>
          <w:color w:val="000000"/>
        </w:rPr>
      </w:pPr>
      <w:r w:rsidDel="00000000" w:rsidR="00000000" w:rsidRPr="00000000">
        <w:rPr>
          <w:rtl w:val="0"/>
        </w:rPr>
      </w:r>
    </w:p>
    <w:p w:rsidR="00000000" w:rsidDel="00000000" w:rsidP="00000000" w:rsidRDefault="00000000" w:rsidRPr="00000000" w14:paraId="0000001D">
      <w:pPr>
        <w:pStyle w:val="Title"/>
        <w:rPr>
          <w:rFonts w:ascii="Montserrat" w:cs="Montserrat" w:eastAsia="Montserrat" w:hAnsi="Montserrat"/>
          <w:color w:val="8fc855"/>
        </w:rPr>
      </w:pPr>
      <w:bookmarkStart w:colFirst="0" w:colLast="0" w:name="_9t7myqf1pcpg" w:id="7"/>
      <w:bookmarkEnd w:id="7"/>
      <w:r w:rsidDel="00000000" w:rsidR="00000000" w:rsidRPr="00000000">
        <w:br w:type="page"/>
      </w:r>
      <w:r w:rsidDel="00000000" w:rsidR="00000000" w:rsidRPr="00000000">
        <w:rPr>
          <w:rtl w:val="0"/>
        </w:rPr>
      </w:r>
    </w:p>
    <w:p w:rsidR="00000000" w:rsidDel="00000000" w:rsidP="00000000" w:rsidRDefault="00000000" w:rsidRPr="00000000" w14:paraId="0000001E">
      <w:pPr>
        <w:pStyle w:val="Title"/>
        <w:jc w:val="center"/>
        <w:rPr>
          <w:rFonts w:ascii="Montserrat" w:cs="Montserrat" w:eastAsia="Montserrat" w:hAnsi="Montserrat"/>
          <w:color w:val="8fc855"/>
        </w:rPr>
      </w:pPr>
      <w:bookmarkStart w:colFirst="0" w:colLast="0" w:name="_tt8c1bu9ve6" w:id="8"/>
      <w:bookmarkEnd w:id="8"/>
      <w:r w:rsidDel="00000000" w:rsidR="00000000" w:rsidRPr="00000000">
        <w:rPr>
          <w:rFonts w:ascii="Montserrat" w:cs="Montserrat" w:eastAsia="Montserrat" w:hAnsi="Montserrat"/>
          <w:color w:val="8fc855"/>
          <w:rtl w:val="0"/>
        </w:rPr>
        <w:t xml:space="preserve">Sample Telemental Health Services Informed Consent</w:t>
      </w:r>
    </w:p>
    <w:p w:rsidR="00000000" w:rsidDel="00000000" w:rsidP="00000000" w:rsidRDefault="00000000" w:rsidRPr="00000000" w14:paraId="0000001F">
      <w:pPr>
        <w:numPr>
          <w:ilvl w:val="0"/>
          <w:numId w:val="3"/>
        </w:numPr>
        <w:ind w:left="720" w:hanging="360"/>
        <w:rPr>
          <w:color w:val="b7b7b7"/>
        </w:rPr>
      </w:pPr>
      <w:r w:rsidDel="00000000" w:rsidR="00000000" w:rsidRPr="00000000">
        <w:rPr>
          <w:color w:val="b7b7b7"/>
          <w:rtl w:val="0"/>
        </w:rPr>
        <w:t xml:space="preserve">Clinician/organization name &amp; credentials</w:t>
      </w:r>
    </w:p>
    <w:p w:rsidR="00000000" w:rsidDel="00000000" w:rsidP="00000000" w:rsidRDefault="00000000" w:rsidRPr="00000000" w14:paraId="00000020">
      <w:pPr>
        <w:numPr>
          <w:ilvl w:val="0"/>
          <w:numId w:val="3"/>
        </w:numPr>
        <w:ind w:left="720" w:hanging="360"/>
        <w:rPr>
          <w:color w:val="b7b7b7"/>
        </w:rPr>
      </w:pPr>
      <w:r w:rsidDel="00000000" w:rsidR="00000000" w:rsidRPr="00000000">
        <w:rPr>
          <w:color w:val="b7b7b7"/>
          <w:rtl w:val="0"/>
        </w:rPr>
        <w:t xml:space="preserve">Practice street address</w:t>
      </w:r>
    </w:p>
    <w:p w:rsidR="00000000" w:rsidDel="00000000" w:rsidP="00000000" w:rsidRDefault="00000000" w:rsidRPr="00000000" w14:paraId="00000021">
      <w:pPr>
        <w:numPr>
          <w:ilvl w:val="0"/>
          <w:numId w:val="3"/>
        </w:numPr>
        <w:ind w:left="720" w:hanging="360"/>
        <w:rPr>
          <w:color w:val="b7b7b7"/>
        </w:rPr>
      </w:pPr>
      <w:r w:rsidDel="00000000" w:rsidR="00000000" w:rsidRPr="00000000">
        <w:rPr>
          <w:color w:val="b7b7b7"/>
          <w:rtl w:val="0"/>
        </w:rPr>
        <w:t xml:space="preserve">Website address</w:t>
      </w:r>
      <w:r w:rsidDel="00000000" w:rsidR="00000000" w:rsidRPr="00000000">
        <w:rPr>
          <w:rtl w:val="0"/>
        </w:rPr>
      </w:r>
    </w:p>
    <w:p w:rsidR="00000000" w:rsidDel="00000000" w:rsidP="00000000" w:rsidRDefault="00000000" w:rsidRPr="00000000" w14:paraId="00000022">
      <w:pPr>
        <w:pStyle w:val="Heading3"/>
        <w:rPr/>
      </w:pPr>
      <w:bookmarkStart w:colFirst="0" w:colLast="0" w:name="_234bgcqbrr86" w:id="9"/>
      <w:bookmarkEnd w:id="9"/>
      <w:r w:rsidDel="00000000" w:rsidR="00000000" w:rsidRPr="00000000">
        <w:rPr>
          <w:rtl w:val="0"/>
        </w:rPr>
        <w:t xml:space="preserve">Overview</w:t>
      </w:r>
    </w:p>
    <w:p w:rsidR="00000000" w:rsidDel="00000000" w:rsidP="00000000" w:rsidRDefault="00000000" w:rsidRPr="00000000" w14:paraId="00000023">
      <w:pPr>
        <w:rPr>
          <w:i w:val="1"/>
          <w:color w:val="3d85c6"/>
        </w:rPr>
      </w:pPr>
      <w:r w:rsidDel="00000000" w:rsidR="00000000" w:rsidRPr="00000000">
        <w:rPr>
          <w:i w:val="1"/>
          <w:color w:val="3d85c6"/>
          <w:rtl w:val="0"/>
        </w:rPr>
        <w:t xml:space="preserve">[The overview is intended as a “layering” strategy to make this document more readable]</w:t>
      </w:r>
    </w:p>
    <w:p w:rsidR="00000000" w:rsidDel="00000000" w:rsidP="00000000" w:rsidRDefault="00000000" w:rsidRPr="00000000" w14:paraId="00000024">
      <w:pPr>
        <w:rPr>
          <w:i w:val="1"/>
          <w:color w:val="3d85c6"/>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You will need access to the certain technological services and tools to engage in telemental health-based services with your provider</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numPr>
                <w:ilvl w:val="0"/>
                <w:numId w:val="1"/>
              </w:numPr>
              <w:spacing w:line="240" w:lineRule="auto"/>
              <w:ind w:left="720" w:hanging="360"/>
              <w:rPr>
                <w:u w:val="none"/>
              </w:rPr>
            </w:pPr>
            <w:r w:rsidDel="00000000" w:rsidR="00000000" w:rsidRPr="00000000">
              <w:rPr>
                <w:rtl w:val="0"/>
              </w:rPr>
              <w:t xml:space="preserve">Telemental health has both benefits and risks, which you and your provider will be monitoring as you proceed with your work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It is possible that receiving services by telemental health will turn out to be inappropriate for you, and that you and your provider may have to cease work by telemental health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You can stop work by telemental health at any time without prejudice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You will need to participate in creating an appropriate space for your telemental health sessions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You will need to participate in making a plan for managing technology failures, mental health crises, and medical emergencies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Your provider follows security best practices and legal standards in order to protect your health care information, but you will also need to participate in maintaining your own security and privacy</w:t>
            </w:r>
          </w:p>
        </w:tc>
      </w:tr>
    </w:tbl>
    <w:p w:rsidR="00000000" w:rsidDel="00000000" w:rsidP="00000000" w:rsidRDefault="00000000" w:rsidRPr="00000000" w14:paraId="0000002C">
      <w:pPr>
        <w:rPr>
          <w:i w:val="1"/>
          <w:color w:val="3d85c6"/>
        </w:rPr>
      </w:pPr>
      <w:r w:rsidDel="00000000" w:rsidR="00000000" w:rsidRPr="00000000">
        <w:br w:type="page"/>
      </w:r>
      <w:r w:rsidDel="00000000" w:rsidR="00000000" w:rsidRPr="00000000">
        <w:rPr>
          <w:rtl w:val="0"/>
        </w:rPr>
      </w:r>
    </w:p>
    <w:p w:rsidR="00000000" w:rsidDel="00000000" w:rsidP="00000000" w:rsidRDefault="00000000" w:rsidRPr="00000000" w14:paraId="0000002D">
      <w:pPr>
        <w:rPr>
          <w:i w:val="1"/>
          <w:color w:val="3d85c6"/>
        </w:rPr>
      </w:pPr>
      <w:r w:rsidDel="00000000" w:rsidR="00000000" w:rsidRPr="00000000">
        <w:rPr>
          <w:rtl w:val="0"/>
        </w:rPr>
      </w:r>
    </w:p>
    <w:p w:rsidR="00000000" w:rsidDel="00000000" w:rsidP="00000000" w:rsidRDefault="00000000" w:rsidRPr="00000000" w14:paraId="0000002E">
      <w:pPr>
        <w:pStyle w:val="Heading3"/>
        <w:rPr/>
      </w:pPr>
      <w:bookmarkStart w:colFirst="0" w:colLast="0" w:name="_krxg3kjrvyd1" w:id="10"/>
      <w:bookmarkEnd w:id="10"/>
      <w:r w:rsidDel="00000000" w:rsidR="00000000" w:rsidRPr="00000000">
        <w:rPr>
          <w:rtl w:val="0"/>
        </w:rPr>
        <w:t xml:space="preserve">What is Telemental Health?</w:t>
      </w:r>
    </w:p>
    <w:p w:rsidR="00000000" w:rsidDel="00000000" w:rsidP="00000000" w:rsidRDefault="00000000" w:rsidRPr="00000000" w14:paraId="0000002F">
      <w:pPr>
        <w:rPr>
          <w:i w:val="1"/>
          <w:color w:val="3d85c6"/>
        </w:rPr>
      </w:pPr>
      <w:r w:rsidDel="00000000" w:rsidR="00000000" w:rsidRPr="00000000">
        <w:rPr>
          <w:rtl w:val="0"/>
        </w:rPr>
        <w:t xml:space="preserve">“Telemental health” means, in short, </w:t>
      </w:r>
      <w:r w:rsidDel="00000000" w:rsidR="00000000" w:rsidRPr="00000000">
        <w:rPr>
          <w:color w:val="b7b7b7"/>
          <w:rtl w:val="0"/>
        </w:rPr>
        <w:t xml:space="preserve">&lt;”provision of mental health services with the provider and recipient of services being in separate locations, and the services being delivered over electronic media.”&gt;</w:t>
      </w:r>
      <w:r w:rsidDel="00000000" w:rsidR="00000000" w:rsidRPr="00000000">
        <w:rPr>
          <w:rtl w:val="0"/>
        </w:rPr>
        <w:t xml:space="preserve"> </w:t>
      </w:r>
      <w:r w:rsidDel="00000000" w:rsidR="00000000" w:rsidRPr="00000000">
        <w:rPr>
          <w:i w:val="1"/>
          <w:color w:val="3d85c6"/>
          <w:rtl w:val="0"/>
        </w:rPr>
        <w:t xml:space="preserve">[update this summary of the definition </w:t>
      </w:r>
      <w:r w:rsidDel="00000000" w:rsidR="00000000" w:rsidRPr="00000000">
        <w:rPr>
          <w:b w:val="1"/>
          <w:i w:val="1"/>
          <w:color w:val="3d85c6"/>
          <w:rtl w:val="0"/>
        </w:rPr>
        <w:t xml:space="preserve">if</w:t>
      </w:r>
      <w:r w:rsidDel="00000000" w:rsidR="00000000" w:rsidRPr="00000000">
        <w:rPr>
          <w:i w:val="1"/>
          <w:color w:val="3d85c6"/>
          <w:rtl w:val="0"/>
        </w:rPr>
        <w:t xml:space="preserve"> your state law or licensing board has its own particular definition.]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Services delivered via telemental health rely on a number of electronic, often Internet-based, technology tools. These tools can include videoconferencing software, email, text messaging, virtual environments, specialized mobile health (“mHealth”) apps, and others.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Your provider typically provides telemental health services using the following tools:</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i w:val="1"/>
                <w:color w:val="3d85c6"/>
              </w:rPr>
            </w:pPr>
            <w:r w:rsidDel="00000000" w:rsidR="00000000" w:rsidRPr="00000000">
              <w:rPr>
                <w:i w:val="1"/>
                <w:color w:val="3d85c6"/>
                <w:rtl w:val="0"/>
              </w:rPr>
              <w:t xml:space="preserve">[list name of software/service/hardware tool/app you intend to use]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rPr>
                <w:i w:val="1"/>
                <w:color w:val="3d85c6"/>
              </w:rPr>
            </w:pPr>
            <w:r w:rsidDel="00000000" w:rsidR="00000000" w:rsidRPr="00000000">
              <w:rPr>
                <w:i w:val="1"/>
                <w:color w:val="3d85c6"/>
                <w:rtl w:val="0"/>
              </w:rPr>
              <w:t xml:space="preserve">[list name of software/service/hardware tool/app you intend to use]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b w:val="1"/>
              </w:rPr>
            </w:pPr>
            <w:r w:rsidDel="00000000" w:rsidR="00000000" w:rsidRPr="00000000">
              <w:rPr>
                <w:i w:val="1"/>
                <w:color w:val="3d85c6"/>
                <w:rtl w:val="0"/>
              </w:rPr>
              <w:t xml:space="preserve">…</w:t>
            </w:r>
            <w:r w:rsidDel="00000000" w:rsidR="00000000" w:rsidRPr="00000000">
              <w:rPr>
                <w:rtl w:val="0"/>
              </w:rPr>
            </w:r>
          </w:p>
        </w:tc>
      </w:tr>
    </w:tbl>
    <w:p w:rsidR="00000000" w:rsidDel="00000000" w:rsidP="00000000" w:rsidRDefault="00000000" w:rsidRPr="00000000" w14:paraId="00000037">
      <w:pPr>
        <w:rPr>
          <w:i w:val="1"/>
          <w:color w:val="3d85c6"/>
        </w:rPr>
      </w:pPr>
      <w:r w:rsidDel="00000000" w:rsidR="00000000" w:rsidRPr="00000000">
        <w:rPr>
          <w:rtl w:val="0"/>
        </w:rPr>
      </w:r>
    </w:p>
    <w:p w:rsidR="00000000" w:rsidDel="00000000" w:rsidP="00000000" w:rsidRDefault="00000000" w:rsidRPr="00000000" w14:paraId="00000038">
      <w:pPr>
        <w:numPr>
          <w:ilvl w:val="0"/>
          <w:numId w:val="2"/>
        </w:numPr>
        <w:ind w:left="720" w:hanging="360"/>
        <w:rPr>
          <w:u w:val="none"/>
        </w:rPr>
      </w:pPr>
      <w:r w:rsidDel="00000000" w:rsidR="00000000" w:rsidRPr="00000000">
        <w:rPr>
          <w:rtl w:val="0"/>
        </w:rPr>
        <w:t xml:space="preserve">You will need access to Internet service and technological tools needed to use the above-listed tools in order to engage in telemental health work with your provider.</w:t>
      </w:r>
    </w:p>
    <w:p w:rsidR="00000000" w:rsidDel="00000000" w:rsidP="00000000" w:rsidRDefault="00000000" w:rsidRPr="00000000" w14:paraId="00000039">
      <w:pPr>
        <w:numPr>
          <w:ilvl w:val="0"/>
          <w:numId w:val="2"/>
        </w:numPr>
        <w:ind w:left="720" w:hanging="360"/>
        <w:rPr>
          <w:u w:val="none"/>
        </w:rPr>
      </w:pPr>
      <w:r w:rsidDel="00000000" w:rsidR="00000000" w:rsidRPr="00000000">
        <w:rPr>
          <w:rtl w:val="0"/>
        </w:rPr>
        <w:t xml:space="preserve">If you have any questions or concerns about the above tools, please address them directly to your provider so you can discuss their risks, benefits, and specific application to your treatment. </w:t>
      </w:r>
      <w:r w:rsidDel="00000000" w:rsidR="00000000" w:rsidRPr="00000000">
        <w:rPr>
          <w:rtl w:val="0"/>
        </w:rPr>
      </w:r>
    </w:p>
    <w:p w:rsidR="00000000" w:rsidDel="00000000" w:rsidP="00000000" w:rsidRDefault="00000000" w:rsidRPr="00000000" w14:paraId="0000003A">
      <w:pPr>
        <w:pStyle w:val="Heading3"/>
        <w:rPr/>
      </w:pPr>
      <w:bookmarkStart w:colFirst="0" w:colLast="0" w:name="_uw7qdrjgihp1" w:id="11"/>
      <w:bookmarkEnd w:id="11"/>
      <w:r w:rsidDel="00000000" w:rsidR="00000000" w:rsidRPr="00000000">
        <w:rPr>
          <w:rtl w:val="0"/>
        </w:rPr>
        <w:t xml:space="preserve">Benefits and Risks of Telemental Health</w:t>
      </w:r>
    </w:p>
    <w:p w:rsidR="00000000" w:rsidDel="00000000" w:rsidP="00000000" w:rsidRDefault="00000000" w:rsidRPr="00000000" w14:paraId="0000003B">
      <w:pPr>
        <w:rPr/>
      </w:pPr>
      <w:r w:rsidDel="00000000" w:rsidR="00000000" w:rsidRPr="00000000">
        <w:rPr>
          <w:b w:val="1"/>
          <w:rtl w:val="0"/>
        </w:rPr>
        <w:t xml:space="preserve">Receiving services via telemental health allows you to: </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pPr>
            <w:r w:rsidDel="00000000" w:rsidR="00000000" w:rsidRPr="00000000">
              <w:rPr>
                <w:rtl w:val="0"/>
              </w:rPr>
              <w:t xml:space="preserve">Receive services at times or in places where the service may not otherwise be available.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rPr/>
            </w:pPr>
            <w:r w:rsidDel="00000000" w:rsidR="00000000" w:rsidRPr="00000000">
              <w:rPr>
                <w:rtl w:val="0"/>
              </w:rPr>
              <w:t xml:space="preserve">Receive services in a fashion that may be more convenient and less prone to delays than in-person meetings.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rPr/>
            </w:pPr>
            <w:r w:rsidDel="00000000" w:rsidR="00000000" w:rsidRPr="00000000">
              <w:rPr>
                <w:rtl w:val="0"/>
              </w:rPr>
              <w:t xml:space="preserve">Receive services when you are unable to travel to the service provider’s office.</w:t>
            </w:r>
          </w:p>
          <w:p w:rsidR="00000000" w:rsidDel="00000000" w:rsidP="00000000" w:rsidRDefault="00000000" w:rsidRPr="00000000" w14:paraId="0000003F">
            <w:pPr>
              <w:rPr/>
            </w:pPr>
            <w:r w:rsidDel="00000000" w:rsidR="00000000" w:rsidRPr="00000000">
              <w:rPr>
                <w:rtl w:val="0"/>
              </w:rPr>
              <w:t xml:space="preserve">The unique characteristics of telemental health media may also help some people make improved progress on health goals that may not have been otherwise achievable without telemental health.</w:t>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Receiving services via telemental health has the following risks: </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Telemental health services can be impacted by technical failures, may introduce risks to your privacy, and may reduce your service provider’s ability to directly intervene in crises or emergencies. Here is a non-exhaustive list of examples: </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3">
            <w:pPr>
              <w:rPr/>
            </w:pPr>
            <w:r w:rsidDel="00000000" w:rsidR="00000000" w:rsidRPr="00000000">
              <w:rPr>
                <w:rtl w:val="0"/>
              </w:rPr>
              <w:t xml:space="preserve">Internet connections and cloud services could cease working or become too unstable to use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rPr/>
            </w:pPr>
            <w:r w:rsidDel="00000000" w:rsidR="00000000" w:rsidRPr="00000000">
              <w:rPr>
                <w:rtl w:val="0"/>
              </w:rPr>
              <w:t xml:space="preserve">Cloud-based service personnel, IT assistants, and malicious actors (“hackers”) may have the ability to access your private information that is transmitted or stored in the process of telemental health-based service delivery.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rPr/>
            </w:pPr>
            <w:r w:rsidDel="00000000" w:rsidR="00000000" w:rsidRPr="00000000">
              <w:rPr>
                <w:rtl w:val="0"/>
              </w:rPr>
              <w:t xml:space="preserve">Computer or smartphone hardware can have sudden failures or run out of power, or local power services can go out.</w:t>
            </w:r>
          </w:p>
        </w:tc>
      </w:tr>
    </w:tbl>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t xml:space="preserve">Interruptions may disrupt services at important moments, and your provider may be unable to reach you quickly or using the most effective tools. Your provider may also be unable to help you in-person.</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There may be additional benefits and risks to telemental health services that arise from the lack of in-person contact or presence, the distance between you and your provider at the time of service, and the technological tools used to deliver services. Your provider will assess these potential benefits and risks, sometimes in collaboration with you, as your relationship progresses.</w:t>
      </w:r>
    </w:p>
    <w:p w:rsidR="00000000" w:rsidDel="00000000" w:rsidP="00000000" w:rsidRDefault="00000000" w:rsidRPr="00000000" w14:paraId="0000004A">
      <w:pPr>
        <w:pStyle w:val="Heading3"/>
        <w:rPr/>
      </w:pPr>
      <w:bookmarkStart w:colFirst="0" w:colLast="0" w:name="_8nt1wqgz0xmu" w:id="12"/>
      <w:bookmarkEnd w:id="12"/>
      <w:r w:rsidDel="00000000" w:rsidR="00000000" w:rsidRPr="00000000">
        <w:rPr>
          <w:rtl w:val="0"/>
        </w:rPr>
        <w:t xml:space="preserve">Assessing Telemental Health’s Fit For You</w:t>
      </w:r>
    </w:p>
    <w:p w:rsidR="00000000" w:rsidDel="00000000" w:rsidP="00000000" w:rsidRDefault="00000000" w:rsidRPr="00000000" w14:paraId="0000004B">
      <w:pPr>
        <w:rPr/>
      </w:pPr>
      <w:r w:rsidDel="00000000" w:rsidR="00000000" w:rsidRPr="00000000">
        <w:rPr>
          <w:rtl w:val="0"/>
        </w:rPr>
        <w:t xml:space="preserve">Although it is well validated by research, service delivery via telemental health is not a good fit for every person. Your provider will continuously assess if working via telemental health is appropriate for your case. If it is not appropriate, your provider will help you find in-person providers with whom to continue services.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Please talk to your provider if you find the telemental health media so difficult to use that it distracts from the services being provided, if the medium </w:t>
      </w:r>
      <w:r w:rsidDel="00000000" w:rsidR="00000000" w:rsidRPr="00000000">
        <w:rPr>
          <w:rtl w:val="0"/>
        </w:rPr>
        <w:t xml:space="preserve">causes</w:t>
      </w:r>
      <w:r w:rsidDel="00000000" w:rsidR="00000000" w:rsidRPr="00000000">
        <w:rPr>
          <w:rtl w:val="0"/>
        </w:rPr>
        <w:t xml:space="preserve"> trouble focusing on your services, or if there are any other reasons why the telemental health medium seems to be causing problems in receiving services. </w:t>
      </w:r>
      <w:r w:rsidDel="00000000" w:rsidR="00000000" w:rsidRPr="00000000">
        <w:rPr>
          <w:b w:val="1"/>
          <w:rtl w:val="0"/>
        </w:rPr>
        <w:t xml:space="preserve">Raising your questions or concerns will not, by itself, result in termination of services. </w:t>
      </w:r>
      <w:r w:rsidDel="00000000" w:rsidR="00000000" w:rsidRPr="00000000">
        <w:rPr>
          <w:rtl w:val="0"/>
        </w:rPr>
        <w:t xml:space="preserve">Bringing your concerns to your provider is often a part of the process.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i w:val="1"/>
          <w:color w:val="3d85c6"/>
        </w:rPr>
      </w:pPr>
      <w:r w:rsidDel="00000000" w:rsidR="00000000" w:rsidRPr="00000000">
        <w:rPr>
          <w:rtl w:val="0"/>
        </w:rPr>
        <w:t xml:space="preserve">You also have a right to stop receiving services by telemental health at any time without prejudice. If your provider also provides services in-person and you are reasonably able to access the provider’s in-person services, you will not be prevented from accessing those services if you choose to stop using telemental health. </w:t>
      </w:r>
      <w:r w:rsidDel="00000000" w:rsidR="00000000" w:rsidRPr="00000000">
        <w:rPr>
          <w:i w:val="1"/>
          <w:color w:val="3d85c6"/>
          <w:rtl w:val="0"/>
        </w:rPr>
        <w:t xml:space="preserve">[update this paragraph based on the feasibility of your TMH clients accessing services in-person (assuming you offer them.) The important thing is that clients should be able to stop using TMH for services without it endangering their access to in-person services, should they exist and be available.]</w:t>
      </w:r>
    </w:p>
    <w:p w:rsidR="00000000" w:rsidDel="00000000" w:rsidP="00000000" w:rsidRDefault="00000000" w:rsidRPr="00000000" w14:paraId="00000050">
      <w:pPr>
        <w:pStyle w:val="Heading3"/>
        <w:rPr/>
      </w:pPr>
      <w:bookmarkStart w:colFirst="0" w:colLast="0" w:name="_aqse4ohg7z7o" w:id="13"/>
      <w:bookmarkEnd w:id="13"/>
      <w:r w:rsidDel="00000000" w:rsidR="00000000" w:rsidRPr="00000000">
        <w:rPr>
          <w:rtl w:val="0"/>
        </w:rPr>
        <w:t xml:space="preserve">Your Telemental Health Environment</w:t>
      </w:r>
    </w:p>
    <w:p w:rsidR="00000000" w:rsidDel="00000000" w:rsidP="00000000" w:rsidRDefault="00000000" w:rsidRPr="00000000" w14:paraId="00000051">
      <w:pPr>
        <w:rPr/>
      </w:pPr>
      <w:r w:rsidDel="00000000" w:rsidR="00000000" w:rsidRPr="00000000">
        <w:rPr>
          <w:rtl w:val="0"/>
        </w:rPr>
        <w:t xml:space="preserve">You will be responsible for creating a safe and confidential space during sessions. You should use a space that is free of other people. It should also be difficult or impossible for people outside the space to see or hear your interactions with your provider during the session. If you are unsure of how to do this, please ask your provider for assistance. </w:t>
      </w:r>
      <w:r w:rsidDel="00000000" w:rsidR="00000000" w:rsidRPr="00000000">
        <w:rPr>
          <w:rtl w:val="0"/>
        </w:rPr>
      </w:r>
    </w:p>
    <w:p w:rsidR="00000000" w:rsidDel="00000000" w:rsidP="00000000" w:rsidRDefault="00000000" w:rsidRPr="00000000" w14:paraId="00000052">
      <w:pPr>
        <w:pStyle w:val="Heading3"/>
        <w:rPr/>
      </w:pPr>
      <w:bookmarkStart w:colFirst="0" w:colLast="0" w:name="_1n4v2ac192qf" w:id="14"/>
      <w:bookmarkEnd w:id="14"/>
      <w:r w:rsidDel="00000000" w:rsidR="00000000" w:rsidRPr="00000000">
        <w:rPr>
          <w:rtl w:val="0"/>
        </w:rPr>
        <w:t xml:space="preserve">Our Communication Plan</w:t>
      </w:r>
    </w:p>
    <w:p w:rsidR="00000000" w:rsidDel="00000000" w:rsidP="00000000" w:rsidRDefault="00000000" w:rsidRPr="00000000" w14:paraId="00000053">
      <w:pPr>
        <w:rPr/>
      </w:pPr>
      <w:r w:rsidDel="00000000" w:rsidR="00000000" w:rsidRPr="00000000">
        <w:rPr>
          <w:rtl w:val="0"/>
        </w:rPr>
        <w:t xml:space="preserve">At our first session, we will develop a plan for backup communications in case of technology failures and a plan for responding to emergencies and mental health crises. In addition to those plans, your provider has the following policies regarding communications:</w:t>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4">
            <w:pPr>
              <w:ind w:left="0" w:firstLine="0"/>
              <w:rPr/>
            </w:pPr>
            <w:r w:rsidDel="00000000" w:rsidR="00000000" w:rsidRPr="00000000">
              <w:rPr>
                <w:rtl w:val="0"/>
              </w:rPr>
              <w:t xml:space="preserve">The best way to contact your provider between sessions is </w:t>
            </w:r>
            <w:r w:rsidDel="00000000" w:rsidR="00000000" w:rsidRPr="00000000">
              <w:rPr>
                <w:color w:val="b7b7b7"/>
                <w:rtl w:val="0"/>
              </w:rPr>
              <w:t xml:space="preserve">&lt;e.g. call by telephone at xxx-xxx-xxxx, or Signal text at xxx-xxx-xxxx.&gt;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ind w:left="0" w:firstLine="0"/>
              <w:rPr/>
            </w:pPr>
            <w:r w:rsidDel="00000000" w:rsidR="00000000" w:rsidRPr="00000000">
              <w:rPr>
                <w:rtl w:val="0"/>
              </w:rPr>
              <w:t xml:space="preserve">Your provider will respond to your messages </w:t>
            </w:r>
            <w:r w:rsidDel="00000000" w:rsidR="00000000" w:rsidRPr="00000000">
              <w:rPr>
                <w:color w:val="b7b7b7"/>
                <w:rtl w:val="0"/>
              </w:rPr>
              <w:t xml:space="preserve">&lt;e.g. within 24 business hours.&gt;</w:t>
            </w:r>
            <w:r w:rsidDel="00000000" w:rsidR="00000000" w:rsidRPr="00000000">
              <w:rPr>
                <w:rtl w:val="0"/>
              </w:rPr>
              <w:t xml:space="preserve"> Please note that your provider may not respond at all on weekends or holidays. Your provider may also respond sooner than stated in this policy. That does not mean they will always respond that quickly.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i w:val="1"/>
          <w:color w:val="3d85c6"/>
          <w:rtl w:val="0"/>
        </w:rPr>
        <w:t xml:space="preserve">[Use this piece if your TMH work will be done in the form of discrete sessions]</w:t>
      </w:r>
      <w:r w:rsidDel="00000000" w:rsidR="00000000" w:rsidRPr="00000000">
        <w:rPr>
          <w:i w:val="1"/>
          <w:color w:val="0000ff"/>
          <w:rtl w:val="0"/>
        </w:rPr>
        <w:t xml:space="preserve"> </w:t>
      </w:r>
      <w:r w:rsidDel="00000000" w:rsidR="00000000" w:rsidRPr="00000000">
        <w:rPr>
          <w:rtl w:val="0"/>
        </w:rPr>
        <w:t xml:space="preserve">Our work is done primarily during our appointed sessions, which will generally occur during </w:t>
      </w:r>
      <w:r w:rsidDel="00000000" w:rsidR="00000000" w:rsidRPr="00000000">
        <w:rPr>
          <w:color w:val="b7b7b7"/>
          <w:rtl w:val="0"/>
        </w:rPr>
        <w:t xml:space="preserve">&lt;e.g. your TMH business hours.&gt;</w:t>
      </w:r>
      <w:r w:rsidDel="00000000" w:rsidR="00000000" w:rsidRPr="00000000">
        <w:rPr>
          <w:rtl w:val="0"/>
        </w:rPr>
        <w:t xml:space="preserve">. Contact between sessions should be limited to:</w:t>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B">
            <w:pPr>
              <w:rPr/>
            </w:pPr>
            <w:r w:rsidDel="00000000" w:rsidR="00000000" w:rsidRPr="00000000">
              <w:rPr>
                <w:rtl w:val="0"/>
              </w:rPr>
              <w:t xml:space="preserve">Confirming or changing appointment times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rPr/>
            </w:pPr>
            <w:r w:rsidDel="00000000" w:rsidR="00000000" w:rsidRPr="00000000">
              <w:rPr>
                <w:rtl w:val="0"/>
              </w:rPr>
              <w:t xml:space="preserve">Billing questions or issues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pPr>
            <w:r w:rsidDel="00000000" w:rsidR="00000000" w:rsidRPr="00000000">
              <w:rPr>
                <w:i w:val="1"/>
                <w:color w:val="3d85c6"/>
                <w:rtl w:val="0"/>
              </w:rPr>
              <w:t xml:space="preserve">[items specific to your practice]</w:t>
            </w:r>
            <w:r w:rsidDel="00000000" w:rsidR="00000000" w:rsidRPr="00000000">
              <w:rPr>
                <w:rtl w:val="0"/>
              </w:rPr>
            </w:r>
          </w:p>
        </w:tc>
      </w:tr>
    </w:tb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color w:val="3d85c6"/>
        </w:rPr>
      </w:pPr>
      <w:r w:rsidDel="00000000" w:rsidR="00000000" w:rsidRPr="00000000">
        <w:rPr>
          <w:rtl w:val="0"/>
        </w:rPr>
        <w:t xml:space="preserve">Your provider is located in the </w:t>
      </w:r>
      <w:r w:rsidDel="00000000" w:rsidR="00000000" w:rsidRPr="00000000">
        <w:rPr>
          <w:color w:val="b7b7b7"/>
          <w:rtl w:val="0"/>
        </w:rPr>
        <w:t xml:space="preserve">&lt;e.g. Pacific&gt;</w:t>
      </w:r>
      <w:r w:rsidDel="00000000" w:rsidR="00000000" w:rsidRPr="00000000">
        <w:rPr>
          <w:rtl w:val="0"/>
        </w:rPr>
        <w:t xml:space="preserve"> time zone. Please note the time difference from your own time zone.</w:t>
      </w:r>
      <w:r w:rsidDel="00000000" w:rsidR="00000000" w:rsidRPr="00000000">
        <w:rPr>
          <w:color w:val="3d85c6"/>
          <w:rtl w:val="0"/>
        </w:rPr>
        <w:t xml:space="preserve"> </w:t>
      </w:r>
      <w:r w:rsidDel="00000000" w:rsidR="00000000" w:rsidRPr="00000000">
        <w:rPr>
          <w:i w:val="1"/>
          <w:color w:val="3d85c6"/>
          <w:rtl w:val="0"/>
        </w:rPr>
        <w:t xml:space="preserve">[this sentence </w:t>
      </w:r>
      <w:r w:rsidDel="00000000" w:rsidR="00000000" w:rsidRPr="00000000">
        <w:rPr>
          <w:color w:val="3d85c6"/>
          <w:rtl w:val="0"/>
        </w:rPr>
        <w:t xml:space="preserve">may</w:t>
      </w:r>
      <w:r w:rsidDel="00000000" w:rsidR="00000000" w:rsidRPr="00000000">
        <w:rPr>
          <w:i w:val="1"/>
          <w:color w:val="3d85c6"/>
          <w:rtl w:val="0"/>
        </w:rPr>
        <w:t xml:space="preserve"> be unnecessary if working within your own state. Otherwise, you may wish to list the timezone(s) of your different client populations and explicitly state the exact time difference between their area and yours.]</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Please note that all textual messages you exchange with your provider, e.g. emails and text messages, will become a part of your health record.</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Your provider may coordinate care with one or more of your other providers. Your provider will use reasonable care to ensure that those communications are secure and that they safeguard your privacy.</w:t>
      </w:r>
    </w:p>
    <w:p w:rsidR="00000000" w:rsidDel="00000000" w:rsidP="00000000" w:rsidRDefault="00000000" w:rsidRPr="00000000" w14:paraId="00000064">
      <w:pPr>
        <w:pStyle w:val="Heading3"/>
        <w:rPr/>
      </w:pPr>
      <w:bookmarkStart w:colFirst="0" w:colLast="0" w:name="_ta1t5hs1dbmg" w:id="15"/>
      <w:bookmarkEnd w:id="15"/>
      <w:r w:rsidDel="00000000" w:rsidR="00000000" w:rsidRPr="00000000">
        <w:rPr>
          <w:rtl w:val="0"/>
        </w:rPr>
        <w:t xml:space="preserve">Our Safety and Emergency Plan</w:t>
      </w:r>
    </w:p>
    <w:p w:rsidR="00000000" w:rsidDel="00000000" w:rsidP="00000000" w:rsidRDefault="00000000" w:rsidRPr="00000000" w14:paraId="00000065">
      <w:pPr>
        <w:rPr/>
      </w:pPr>
      <w:r w:rsidDel="00000000" w:rsidR="00000000" w:rsidRPr="00000000">
        <w:rPr>
          <w:rtl w:val="0"/>
        </w:rPr>
        <w:t xml:space="preserve">As a recipient of telemental health-based services, you will need to participate in ensuring your safety during mental health crises, medical emergencies, and sessions that you have with your provider.</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Your provider will require you to designate an emergency contact. You will need to provide permission for your provider to communicate with this person about your care during emergencies.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Your provider will also develop with you a plan for what to do during mental health crises and emergencies, and a plan for how to keep your space safe during sessions. It is important that you engage with your provider in the creation of these plans and that you follow them when you need to.</w:t>
      </w:r>
    </w:p>
    <w:p w:rsidR="00000000" w:rsidDel="00000000" w:rsidP="00000000" w:rsidRDefault="00000000" w:rsidRPr="00000000" w14:paraId="0000006A">
      <w:pPr>
        <w:pStyle w:val="Heading3"/>
        <w:rPr/>
      </w:pPr>
      <w:bookmarkStart w:colFirst="0" w:colLast="0" w:name="_9l1ikc2zekir" w:id="16"/>
      <w:bookmarkEnd w:id="16"/>
      <w:r w:rsidDel="00000000" w:rsidR="00000000" w:rsidRPr="00000000">
        <w:rPr>
          <w:rtl w:val="0"/>
        </w:rPr>
        <w:t xml:space="preserve">Your Security and Privacy</w:t>
      </w:r>
    </w:p>
    <w:p w:rsidR="00000000" w:rsidDel="00000000" w:rsidP="00000000" w:rsidRDefault="00000000" w:rsidRPr="00000000" w14:paraId="0000006B">
      <w:pPr>
        <w:rPr/>
      </w:pPr>
      <w:r w:rsidDel="00000000" w:rsidR="00000000" w:rsidRPr="00000000">
        <w:rPr>
          <w:rtl w:val="0"/>
        </w:rPr>
        <w:t xml:space="preserve">Except where otherwise noted, your provider employs software and hardware tools that adhere to security best practices and applicable legal standards for the purposes of protecting your privacy and ensuring that records of your health care services are not lost or damaged.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color w:val="3d85c6"/>
        </w:rPr>
      </w:pPr>
      <w:r w:rsidDel="00000000" w:rsidR="00000000" w:rsidRPr="00000000">
        <w:rPr>
          <w:i w:val="1"/>
          <w:color w:val="3d85c6"/>
          <w:rtl w:val="0"/>
        </w:rPr>
        <w:t xml:space="preserve">[You may wish to describe the tools you use for storing client records and other information, including some information about how you keep them secure. See the Person Centered Tech Sample Electronic Records Disclosure form for sample language]</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As with all things in telemental health, however, you also have a role to play in maintaining your security. Please use reasonable security protocols to protect the privacy of your own health care information. For example: when communicating with your provider, use devices and service accounts that are protected by unique passwords that only you know. Also, use the secure tools that your provider has supplied for communications. </w:t>
      </w:r>
    </w:p>
    <w:p w:rsidR="00000000" w:rsidDel="00000000" w:rsidP="00000000" w:rsidRDefault="00000000" w:rsidRPr="00000000" w14:paraId="00000070">
      <w:pPr>
        <w:pStyle w:val="Heading3"/>
        <w:rPr/>
      </w:pPr>
      <w:bookmarkStart w:colFirst="0" w:colLast="0" w:name="_e8d985qblfrc" w:id="17"/>
      <w:bookmarkEnd w:id="17"/>
      <w:r w:rsidDel="00000000" w:rsidR="00000000" w:rsidRPr="00000000">
        <w:rPr>
          <w:rtl w:val="0"/>
        </w:rPr>
        <w:t xml:space="preserve">Recordings</w:t>
      </w:r>
    </w:p>
    <w:p w:rsidR="00000000" w:rsidDel="00000000" w:rsidP="00000000" w:rsidRDefault="00000000" w:rsidRPr="00000000" w14:paraId="00000071">
      <w:pPr>
        <w:rPr>
          <w:color w:val="3d85c6"/>
        </w:rPr>
      </w:pPr>
      <w:r w:rsidDel="00000000" w:rsidR="00000000" w:rsidRPr="00000000">
        <w:rPr>
          <w:rtl w:val="0"/>
        </w:rPr>
        <w:t xml:space="preserve">Please do not record video or audio sessions without your provider’s consent. Making recordings can quickly and easily compromise your privacy, and should be done so with great care. Your provider </w:t>
      </w:r>
      <w:r w:rsidDel="00000000" w:rsidR="00000000" w:rsidRPr="00000000">
        <w:rPr>
          <w:color w:val="b7b7b7"/>
          <w:rtl w:val="0"/>
        </w:rPr>
        <w:t xml:space="preserve">&lt;will/will not&gt;</w:t>
      </w:r>
      <w:r w:rsidDel="00000000" w:rsidR="00000000" w:rsidRPr="00000000">
        <w:rPr>
          <w:rtl w:val="0"/>
        </w:rPr>
        <w:t xml:space="preserve"> record video or audio sessions. </w:t>
      </w:r>
      <w:r w:rsidDel="00000000" w:rsidR="00000000" w:rsidRPr="00000000">
        <w:rPr>
          <w:i w:val="1"/>
          <w:color w:val="3d85c6"/>
          <w:rtl w:val="0"/>
        </w:rPr>
        <w:t xml:space="preserve">[If you do record, such as for supervision, explain why here. Explain the circumstances under which you will typically record sessions and what you will do with the recordings.]</w:t>
      </w:r>
      <w:r w:rsidDel="00000000" w:rsidR="00000000" w:rsidRPr="00000000">
        <w:rPr>
          <w:rtl w:val="0"/>
        </w:rPr>
      </w:r>
    </w:p>
    <w:p w:rsidR="00000000" w:rsidDel="00000000" w:rsidP="00000000" w:rsidRDefault="00000000" w:rsidRPr="00000000" w14:paraId="00000072">
      <w:pPr>
        <w:rPr>
          <w:color w:val="3d85c6"/>
        </w:rPr>
      </w:pPr>
      <w:r w:rsidDel="00000000" w:rsidR="00000000" w:rsidRPr="00000000">
        <w:rPr>
          <w:rtl w:val="0"/>
        </w:rPr>
      </w:r>
    </w:p>
    <w:p w:rsidR="00000000" w:rsidDel="00000000" w:rsidP="00000000" w:rsidRDefault="00000000" w:rsidRPr="00000000" w14:paraId="00000073">
      <w:pPr>
        <w:rPr>
          <w:color w:val="3d85c6"/>
        </w:rPr>
      </w:pPr>
      <w:r w:rsidDel="00000000" w:rsidR="00000000" w:rsidRPr="00000000">
        <w:rPr>
          <w:i w:val="1"/>
          <w:color w:val="3d85c6"/>
          <w:rtl w:val="0"/>
        </w:rPr>
        <w:t xml:space="preserve">[Final agreement language and signature fields go here]</w:t>
      </w:r>
      <w:r w:rsidDel="00000000" w:rsidR="00000000" w:rsidRPr="00000000">
        <w:rPr>
          <w:rtl w:val="0"/>
        </w:rPr>
      </w:r>
    </w:p>
    <w:sectPr>
      <w:footerReference r:id="rId11"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rPr>
        <w:b w:val="1"/>
        <w:i w:val="1"/>
        <w:color w:val="8fc855"/>
        <w:highlight w:val="white"/>
      </w:rPr>
    </w:pPr>
    <w:r w:rsidDel="00000000" w:rsidR="00000000" w:rsidRPr="00000000">
      <w:rPr>
        <w:i w:val="1"/>
        <w:color w:val="8fc855"/>
        <w:highlight w:val="white"/>
        <w:rtl w:val="0"/>
      </w:rPr>
      <w:t xml:space="preserve">Your Center is your Clients. Our Center is You.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242888</wp:posOffset>
          </wp:positionV>
          <wp:extent cx="1000125" cy="5000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0125" cy="500063"/>
                  </a:xfrm>
                  <a:prstGeom prst="rect"/>
                  <a:ln/>
                </pic:spPr>
              </pic:pic>
            </a:graphicData>
          </a:graphic>
        </wp:anchor>
      </w:drawing>
    </w:r>
  </w:p>
  <w:p w:rsidR="00000000" w:rsidDel="00000000" w:rsidP="00000000" w:rsidRDefault="00000000" w:rsidRPr="00000000" w14:paraId="00000075">
    <w:pPr>
      <w:rPr>
        <w:rFonts w:ascii="Arial" w:cs="Arial" w:eastAsia="Arial" w:hAnsi="Arial"/>
        <w:color w:val="000000"/>
        <w:sz w:val="22"/>
        <w:szCs w:val="22"/>
      </w:rPr>
    </w:pPr>
    <w:r w:rsidDel="00000000" w:rsidR="00000000" w:rsidRPr="00000000">
      <w:rPr>
        <w:b w:val="1"/>
        <w:color w:val="000000"/>
        <w:sz w:val="22"/>
        <w:szCs w:val="22"/>
        <w:rtl w:val="0"/>
      </w:rPr>
      <w:br w:type="textWrapping"/>
    </w:r>
    <w:r w:rsidDel="00000000" w:rsidR="00000000" w:rsidRPr="00000000">
      <w:rPr>
        <w:b w:val="1"/>
        <w:color w:val="000000"/>
        <w:sz w:val="16"/>
        <w:szCs w:val="16"/>
        <w:rtl w:val="0"/>
      </w:rPr>
      <w:t xml:space="preserve">EMAIL</w:t>
    </w:r>
    <w:r w:rsidDel="00000000" w:rsidR="00000000" w:rsidRPr="00000000">
      <w:rPr>
        <w:color w:val="000000"/>
        <w:sz w:val="18"/>
        <w:szCs w:val="18"/>
        <w:rtl w:val="0"/>
      </w:rPr>
      <w:tab/>
      <w:t xml:space="preserve">info@personcenteredtech.com</w:t>
      <w:br w:type="textWrapping"/>
    </w:r>
    <w:r w:rsidDel="00000000" w:rsidR="00000000" w:rsidRPr="00000000">
      <w:rPr>
        <w:b w:val="1"/>
        <w:color w:val="000000"/>
        <w:sz w:val="16"/>
        <w:szCs w:val="16"/>
        <w:rtl w:val="0"/>
      </w:rPr>
      <w:t xml:space="preserve">WEB</w:t>
    </w:r>
    <w:r w:rsidDel="00000000" w:rsidR="00000000" w:rsidRPr="00000000">
      <w:rPr>
        <w:color w:val="000000"/>
        <w:sz w:val="18"/>
        <w:szCs w:val="18"/>
        <w:rtl w:val="0"/>
      </w:rPr>
      <w:tab/>
    </w:r>
    <w:hyperlink r:id="rId2">
      <w:r w:rsidDel="00000000" w:rsidR="00000000" w:rsidRPr="00000000">
        <w:rPr>
          <w:color w:val="1155cc"/>
          <w:sz w:val="18"/>
          <w:szCs w:val="18"/>
          <w:u w:val="single"/>
          <w:rtl w:val="0"/>
        </w:rPr>
        <w:t xml:space="preserve">www.personcenteredtech.com</w:t>
      </w:r>
    </w:hyperlink>
    <w:r w:rsidDel="00000000" w:rsidR="00000000" w:rsidRPr="00000000">
      <w:rPr>
        <w:color w:val="000000"/>
        <w:sz w:val="18"/>
        <w:szCs w:val="18"/>
        <w:rtl w:val="0"/>
      </w:rPr>
      <w:t xml:space="preserve">  </w:t>
      <w:tab/>
      <w:tab/>
      <w:tab/>
      <w:tab/>
      <w:tab/>
      <w:tab/>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8fc8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8fc8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oto Serif" w:cs="Noto Serif" w:eastAsia="Noto Serif" w:hAnsi="Noto Serif"/>
        <w:color w:val="434343"/>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Montserrat" w:cs="Montserrat" w:eastAsia="Montserrat" w:hAnsi="Montserrat"/>
      <w:b w:val="1"/>
      <w:color w:val="8fc855"/>
      <w:sz w:val="32"/>
      <w:szCs w:val="32"/>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personcenteredtech.com/group-telemental-health/" TargetMode="External"/><Relationship Id="rId9" Type="http://schemas.openxmlformats.org/officeDocument/2006/relationships/hyperlink" Target="https://personcenteredtech.com/tmh/starter/" TargetMode="External"/><Relationship Id="rId5" Type="http://schemas.openxmlformats.org/officeDocument/2006/relationships/styles" Target="styles.xml"/><Relationship Id="rId6" Type="http://schemas.openxmlformats.org/officeDocument/2006/relationships/hyperlink" Target="https://personcenteredtech.com/terms-of-service/" TargetMode="External"/><Relationship Id="rId7" Type="http://schemas.openxmlformats.org/officeDocument/2006/relationships/hyperlink" Target="https://personcenteredtech.com/terms-of-service/" TargetMode="External"/><Relationship Id="rId8" Type="http://schemas.openxmlformats.org/officeDocument/2006/relationships/hyperlink" Target="https://personcenteredtech.com/tm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personcentered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